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652"/>
        <w:gridCol w:w="3827"/>
        <w:gridCol w:w="1985"/>
        <w:gridCol w:w="884"/>
      </w:tblGrid>
      <w:tr w:rsidR="00894C4E" w:rsidRPr="00C43C4F" w14:paraId="7EA4CF23" w14:textId="77777777" w:rsidTr="00AB776B">
        <w:trPr>
          <w:gridAfter w:val="1"/>
          <w:wAfter w:w="884" w:type="dxa"/>
        </w:trPr>
        <w:tc>
          <w:tcPr>
            <w:tcW w:w="7479" w:type="dxa"/>
            <w:gridSpan w:val="2"/>
          </w:tcPr>
          <w:p w14:paraId="178D2CC5" w14:textId="77777777" w:rsidR="00894C4E" w:rsidRPr="00886168" w:rsidRDefault="00894C4E" w:rsidP="008B48D1">
            <w:pPr>
              <w:pStyle w:val="Heading2"/>
              <w:rPr>
                <w:rFonts w:ascii="Calibri" w:hAnsi="Calibri"/>
                <w:b w:val="0"/>
                <w:bCs w:val="0"/>
                <w:i w:val="0"/>
                <w:iCs w:val="0"/>
              </w:rPr>
            </w:pPr>
          </w:p>
          <w:p w14:paraId="100BEAA5" w14:textId="77777777" w:rsidR="00894C4E" w:rsidRDefault="00894C4E" w:rsidP="008B48D1">
            <w:pPr>
              <w:jc w:val="both"/>
              <w:rPr>
                <w:rFonts w:ascii="Calibri" w:hAnsi="Calibri" w:cs="Tahoma"/>
                <w:b/>
                <w:sz w:val="28"/>
              </w:rPr>
            </w:pPr>
            <w:r>
              <w:rPr>
                <w:rFonts w:ascii="Calibri" w:hAnsi="Calibri" w:cs="Tahoma"/>
                <w:b/>
                <w:sz w:val="28"/>
              </w:rPr>
              <w:t>Fitness to Study Policy</w:t>
            </w:r>
          </w:p>
          <w:p w14:paraId="1DFB41A2" w14:textId="037A6062" w:rsidR="004A26B8" w:rsidRPr="00C43C4F" w:rsidRDefault="004A26B8" w:rsidP="008B48D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14:paraId="4B11A2F1" w14:textId="0E5098D2" w:rsidR="00894C4E" w:rsidRPr="006A317C" w:rsidRDefault="004A26B8" w:rsidP="008B48D1">
            <w:pPr>
              <w:pStyle w:val="Heading2"/>
              <w:rPr>
                <w:rFonts w:ascii="Calibri" w:hAnsi="Calibri"/>
                <w:b w:val="0"/>
                <w:i w:val="0"/>
              </w:rPr>
            </w:pPr>
            <w:r>
              <w:rPr>
                <w:rFonts w:ascii="Calibri" w:hAnsi="Calibri"/>
                <w:b w:val="0"/>
                <w:i w:val="0"/>
                <w:noProof/>
              </w:rPr>
              <w:drawing>
                <wp:anchor distT="0" distB="0" distL="114300" distR="114300" simplePos="0" relativeHeight="251658240" behindDoc="1" locked="0" layoutInCell="1" allowOverlap="1" wp14:anchorId="1B3A53EB" wp14:editId="450374EC">
                  <wp:simplePos x="0" y="0"/>
                  <wp:positionH relativeFrom="column">
                    <wp:posOffset>723669</wp:posOffset>
                  </wp:positionH>
                  <wp:positionV relativeFrom="paragraph">
                    <wp:posOffset>80761</wp:posOffset>
                  </wp:positionV>
                  <wp:extent cx="993775" cy="929640"/>
                  <wp:effectExtent l="0" t="0" r="0" b="3810"/>
                  <wp:wrapNone/>
                  <wp:docPr id="2" name="Picture 2" descr="A logo with a circle and a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with a circle and a lett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C4E" w:rsidRPr="00090666" w14:paraId="5FB36776" w14:textId="77777777" w:rsidTr="00AB7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</w:tcPr>
          <w:p w14:paraId="75760C78" w14:textId="77777777" w:rsidR="00894C4E" w:rsidRPr="00090666" w:rsidRDefault="00894C4E" w:rsidP="008B48D1">
            <w:pPr>
              <w:rPr>
                <w:rFonts w:ascii="Calibri" w:hAnsi="Calibri"/>
                <w:b/>
                <w:sz w:val="28"/>
                <w:szCs w:val="28"/>
              </w:rPr>
            </w:pPr>
            <w:r w:rsidRPr="00090666">
              <w:rPr>
                <w:rFonts w:ascii="Calibri" w:hAnsi="Calibri"/>
                <w:b/>
                <w:sz w:val="28"/>
                <w:szCs w:val="28"/>
              </w:rPr>
              <w:t>OWNED BY:</w:t>
            </w:r>
          </w:p>
        </w:tc>
        <w:tc>
          <w:tcPr>
            <w:tcW w:w="6696" w:type="dxa"/>
            <w:gridSpan w:val="3"/>
          </w:tcPr>
          <w:p w14:paraId="4CC94045" w14:textId="777E4538" w:rsidR="00894C4E" w:rsidRPr="00090666" w:rsidRDefault="00894C4E" w:rsidP="008B48D1">
            <w:pPr>
              <w:rPr>
                <w:rFonts w:ascii="Calibri" w:hAnsi="Calibri"/>
                <w:b/>
                <w:sz w:val="28"/>
                <w:szCs w:val="28"/>
              </w:rPr>
            </w:pPr>
            <w:r w:rsidRPr="00090666">
              <w:rPr>
                <w:rFonts w:ascii="Calibri" w:hAnsi="Calibri"/>
                <w:b/>
                <w:sz w:val="28"/>
                <w:szCs w:val="28"/>
              </w:rPr>
              <w:t xml:space="preserve">VP, Student </w:t>
            </w:r>
            <w:r>
              <w:rPr>
                <w:rFonts w:ascii="Calibri" w:hAnsi="Calibri"/>
                <w:b/>
                <w:sz w:val="28"/>
                <w:szCs w:val="28"/>
              </w:rPr>
              <w:t>Experience and External Relations</w:t>
            </w:r>
          </w:p>
        </w:tc>
      </w:tr>
      <w:tr w:rsidR="00894C4E" w:rsidRPr="00090666" w14:paraId="348C3696" w14:textId="77777777" w:rsidTr="00AB7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</w:tcPr>
          <w:p w14:paraId="00951641" w14:textId="77777777" w:rsidR="00894C4E" w:rsidRPr="00090666" w:rsidRDefault="00894C4E" w:rsidP="008B48D1">
            <w:pPr>
              <w:rPr>
                <w:rFonts w:ascii="Calibri" w:hAnsi="Calibri"/>
                <w:b/>
                <w:sz w:val="28"/>
                <w:szCs w:val="28"/>
              </w:rPr>
            </w:pPr>
            <w:r w:rsidRPr="00090666">
              <w:rPr>
                <w:rFonts w:ascii="Calibri" w:hAnsi="Calibri"/>
                <w:b/>
                <w:sz w:val="28"/>
                <w:szCs w:val="28"/>
              </w:rPr>
              <w:t>DATE OF LAST REVIEW</w:t>
            </w:r>
          </w:p>
        </w:tc>
        <w:tc>
          <w:tcPr>
            <w:tcW w:w="6696" w:type="dxa"/>
            <w:gridSpan w:val="3"/>
          </w:tcPr>
          <w:p w14:paraId="72835CCE" w14:textId="4D215530" w:rsidR="00894C4E" w:rsidRPr="00090666" w:rsidRDefault="00654E29" w:rsidP="008B48D1">
            <w:pPr>
              <w:pStyle w:val="Heading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September 2025</w:t>
            </w:r>
          </w:p>
        </w:tc>
      </w:tr>
      <w:tr w:rsidR="00894C4E" w:rsidRPr="00090666" w14:paraId="1AC2AE9B" w14:textId="77777777" w:rsidTr="00AB7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</w:tcPr>
          <w:p w14:paraId="0216DF27" w14:textId="77777777" w:rsidR="00894C4E" w:rsidRPr="00090666" w:rsidRDefault="00894C4E" w:rsidP="008B48D1">
            <w:pPr>
              <w:rPr>
                <w:rFonts w:ascii="Calibri" w:hAnsi="Calibri"/>
                <w:b/>
                <w:sz w:val="28"/>
                <w:szCs w:val="28"/>
              </w:rPr>
            </w:pPr>
            <w:r w:rsidRPr="00090666">
              <w:rPr>
                <w:rFonts w:ascii="Calibri" w:hAnsi="Calibri"/>
                <w:b/>
                <w:sz w:val="28"/>
                <w:szCs w:val="28"/>
              </w:rPr>
              <w:t>PLANNED NEXT REVIEW:</w:t>
            </w:r>
          </w:p>
        </w:tc>
        <w:tc>
          <w:tcPr>
            <w:tcW w:w="6696" w:type="dxa"/>
            <w:gridSpan w:val="3"/>
          </w:tcPr>
          <w:p w14:paraId="427B99A9" w14:textId="12CDFBB7" w:rsidR="00894C4E" w:rsidRPr="00090666" w:rsidRDefault="00894C4E" w:rsidP="008B48D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September </w:t>
            </w:r>
            <w:r w:rsidR="00654E29">
              <w:rPr>
                <w:rFonts w:ascii="Calibri" w:hAnsi="Calibri"/>
                <w:b/>
                <w:sz w:val="28"/>
                <w:szCs w:val="28"/>
              </w:rPr>
              <w:t>2026</w:t>
            </w:r>
          </w:p>
        </w:tc>
      </w:tr>
      <w:tr w:rsidR="00894C4E" w:rsidRPr="00090666" w14:paraId="4984CE15" w14:textId="77777777" w:rsidTr="00AB7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</w:tcPr>
          <w:p w14:paraId="39B1425B" w14:textId="77777777" w:rsidR="00894C4E" w:rsidRPr="00090666" w:rsidRDefault="00894C4E" w:rsidP="008B48D1">
            <w:pPr>
              <w:rPr>
                <w:rFonts w:ascii="Calibri" w:hAnsi="Calibri"/>
                <w:b/>
                <w:sz w:val="28"/>
                <w:szCs w:val="28"/>
              </w:rPr>
            </w:pPr>
            <w:r w:rsidRPr="00090666">
              <w:rPr>
                <w:rFonts w:ascii="Calibri" w:hAnsi="Calibri"/>
                <w:b/>
                <w:sz w:val="28"/>
                <w:szCs w:val="28"/>
              </w:rPr>
              <w:t xml:space="preserve">APPROVAL </w:t>
            </w:r>
          </w:p>
        </w:tc>
        <w:tc>
          <w:tcPr>
            <w:tcW w:w="6696" w:type="dxa"/>
            <w:gridSpan w:val="3"/>
          </w:tcPr>
          <w:p w14:paraId="604B72ED" w14:textId="549EBAC6" w:rsidR="00894C4E" w:rsidRPr="00090666" w:rsidRDefault="00085CA3" w:rsidP="008B48D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SLT</w:t>
            </w:r>
          </w:p>
        </w:tc>
      </w:tr>
    </w:tbl>
    <w:p w14:paraId="3DCAF0E1" w14:textId="20CDB2C9" w:rsidR="00C6690A" w:rsidRDefault="00C6690A" w:rsidP="00C6690A">
      <w:pPr>
        <w:tabs>
          <w:tab w:val="num" w:pos="720"/>
        </w:tabs>
        <w:spacing w:after="0" w:line="240" w:lineRule="auto"/>
        <w:rPr>
          <w:b/>
          <w:bCs/>
        </w:rPr>
      </w:pPr>
    </w:p>
    <w:p w14:paraId="454FA359" w14:textId="3FA526B6" w:rsidR="00894C4E" w:rsidRPr="00C6690A" w:rsidRDefault="00894C4E" w:rsidP="00C6690A">
      <w:pPr>
        <w:tabs>
          <w:tab w:val="num" w:pos="720"/>
        </w:tabs>
        <w:spacing w:after="0" w:line="240" w:lineRule="auto"/>
        <w:rPr>
          <w:b/>
          <w:bCs/>
        </w:rPr>
      </w:pPr>
      <w:r w:rsidRPr="00C6690A">
        <w:rPr>
          <w:b/>
          <w:bCs/>
        </w:rPr>
        <w:t>Introduction</w:t>
      </w:r>
    </w:p>
    <w:p w14:paraId="198FD04E" w14:textId="182AF769" w:rsidR="00894C4E" w:rsidRDefault="00894C4E" w:rsidP="00085CA3">
      <w:pPr>
        <w:tabs>
          <w:tab w:val="num" w:pos="720"/>
        </w:tabs>
        <w:spacing w:after="0" w:line="240" w:lineRule="auto"/>
        <w:jc w:val="both"/>
      </w:pPr>
      <w:r>
        <w:t>Our</w:t>
      </w:r>
      <w:r w:rsidRPr="00894C4E">
        <w:t xml:space="preserve"> fitness to study policy is designed to support students in maintaining their well-being and academic performance. </w:t>
      </w:r>
      <w:r w:rsidR="00381A77">
        <w:t xml:space="preserve">It </w:t>
      </w:r>
      <w:r w:rsidR="005D66E4">
        <w:t>works in conjunction with the Admissions Policy.</w:t>
      </w:r>
    </w:p>
    <w:p w14:paraId="7F261063" w14:textId="77777777" w:rsidR="00894C4E" w:rsidRDefault="00894C4E" w:rsidP="00085CA3">
      <w:pPr>
        <w:tabs>
          <w:tab w:val="num" w:pos="720"/>
        </w:tabs>
        <w:spacing w:after="0" w:line="240" w:lineRule="auto"/>
        <w:jc w:val="both"/>
      </w:pPr>
    </w:p>
    <w:p w14:paraId="55D09B56" w14:textId="446F1B23" w:rsidR="00C6690A" w:rsidRDefault="00894C4E" w:rsidP="00085CA3">
      <w:pPr>
        <w:tabs>
          <w:tab w:val="num" w:pos="720"/>
        </w:tabs>
        <w:spacing w:after="0" w:line="240" w:lineRule="auto"/>
        <w:jc w:val="both"/>
      </w:pPr>
      <w:r w:rsidRPr="00894C4E">
        <w:rPr>
          <w:b/>
          <w:bCs/>
        </w:rPr>
        <w:t>Definition</w:t>
      </w:r>
      <w:r w:rsidRPr="00894C4E">
        <w:t xml:space="preserve"> </w:t>
      </w:r>
    </w:p>
    <w:p w14:paraId="3403E879" w14:textId="40265585" w:rsidR="00894C4E" w:rsidRDefault="00C6690A" w:rsidP="00085CA3">
      <w:pPr>
        <w:tabs>
          <w:tab w:val="num" w:pos="720"/>
        </w:tabs>
        <w:spacing w:after="0" w:line="240" w:lineRule="auto"/>
        <w:jc w:val="both"/>
      </w:pPr>
      <w:r>
        <w:t>For</w:t>
      </w:r>
      <w:r w:rsidR="00894C4E">
        <w:t xml:space="preserve"> this policy, ‘Fitness to Study’ </w:t>
      </w:r>
      <w:r w:rsidR="00894C4E" w:rsidRPr="00894C4E">
        <w:t xml:space="preserve">refers to a student's capacity to fully engage with </w:t>
      </w:r>
      <w:r w:rsidR="00894C4E">
        <w:t>college</w:t>
      </w:r>
      <w:r w:rsidR="00894C4E" w:rsidRPr="00894C4E">
        <w:t xml:space="preserve"> life, both academically and otherwise, without unreasonable detriment to their wellbeing and whilst maintaining appropriate standards of behaviour.</w:t>
      </w:r>
      <w:r w:rsidR="00894C4E">
        <w:t xml:space="preserve"> The</w:t>
      </w:r>
      <w:r w:rsidR="00894C4E" w:rsidRPr="00894C4E">
        <w:t xml:space="preserve"> focus</w:t>
      </w:r>
      <w:r w:rsidR="00894C4E">
        <w:t xml:space="preserve"> is</w:t>
      </w:r>
      <w:r w:rsidR="00894C4E" w:rsidRPr="00894C4E">
        <w:t xml:space="preserve"> on mental and physical health as they relate to academic success.</w:t>
      </w:r>
    </w:p>
    <w:p w14:paraId="25AAF9CE" w14:textId="77777777" w:rsidR="00894C4E" w:rsidRDefault="00894C4E" w:rsidP="00085CA3">
      <w:pPr>
        <w:spacing w:after="0" w:line="240" w:lineRule="auto"/>
        <w:jc w:val="both"/>
      </w:pPr>
    </w:p>
    <w:p w14:paraId="07AE6B80" w14:textId="00B25F8C" w:rsidR="005058FD" w:rsidRDefault="00894C4E" w:rsidP="00085CA3">
      <w:pPr>
        <w:spacing w:after="0" w:line="240" w:lineRule="auto"/>
        <w:jc w:val="both"/>
      </w:pPr>
      <w:r w:rsidRPr="00894C4E">
        <w:rPr>
          <w:b/>
          <w:bCs/>
        </w:rPr>
        <w:t>Assessment Process</w:t>
      </w:r>
      <w:r w:rsidRPr="00894C4E">
        <w:t xml:space="preserve"> </w:t>
      </w:r>
    </w:p>
    <w:p w14:paraId="2C75704C" w14:textId="6F37938D" w:rsidR="00C44C35" w:rsidRDefault="005058FD" w:rsidP="00085CA3">
      <w:pPr>
        <w:spacing w:after="0" w:line="240" w:lineRule="auto"/>
        <w:jc w:val="both"/>
      </w:pPr>
      <w:r>
        <w:t>F</w:t>
      </w:r>
      <w:r w:rsidR="00894C4E" w:rsidRPr="00894C4E">
        <w:t xml:space="preserve">itness will be assessed, </w:t>
      </w:r>
      <w:r>
        <w:t>following</w:t>
      </w:r>
      <w:r w:rsidR="00894C4E" w:rsidRPr="00894C4E">
        <w:t xml:space="preserve"> </w:t>
      </w:r>
      <w:r w:rsidR="00B025C5">
        <w:t>referral fro</w:t>
      </w:r>
      <w:r w:rsidR="00D45577">
        <w:t xml:space="preserve">m a variety of sources including </w:t>
      </w:r>
      <w:r w:rsidR="00894C4E" w:rsidRPr="00894C4E">
        <w:t>self-referrals</w:t>
      </w:r>
      <w:r w:rsidR="00D45577">
        <w:t>,</w:t>
      </w:r>
      <w:r w:rsidR="00BC5CCF">
        <w:t xml:space="preserve"> a parent</w:t>
      </w:r>
      <w:r w:rsidR="00D45577">
        <w:t xml:space="preserve"> communication during the application process</w:t>
      </w:r>
      <w:r w:rsidR="00894C4E" w:rsidRPr="00894C4E">
        <w:t xml:space="preserve">, referrals from </w:t>
      </w:r>
      <w:r w:rsidR="00E97E88">
        <w:t xml:space="preserve">staff - </w:t>
      </w:r>
      <w:r w:rsidR="006C1A31">
        <w:t>admissions</w:t>
      </w:r>
      <w:r w:rsidR="00C44C35">
        <w:t>, academic support or pastoral</w:t>
      </w:r>
      <w:r w:rsidR="006C1A31">
        <w:t xml:space="preserve"> </w:t>
      </w:r>
      <w:r w:rsidR="00894C4E" w:rsidRPr="00894C4E">
        <w:t xml:space="preserve">staff, </w:t>
      </w:r>
      <w:r w:rsidR="00E97E88">
        <w:t>received from school review meetings</w:t>
      </w:r>
      <w:r w:rsidR="00E97E88" w:rsidRPr="00894C4E">
        <w:t xml:space="preserve"> </w:t>
      </w:r>
      <w:r w:rsidR="00894C4E" w:rsidRPr="00894C4E">
        <w:t>or through formal evaluations by health professionals.</w:t>
      </w:r>
      <w:r w:rsidR="00CA609E" w:rsidRPr="00CA609E">
        <w:t xml:space="preserve"> </w:t>
      </w:r>
    </w:p>
    <w:p w14:paraId="6F56D654" w14:textId="77777777" w:rsidR="00CF26D8" w:rsidRDefault="00CF26D8" w:rsidP="00085CA3">
      <w:pPr>
        <w:spacing w:after="0" w:line="240" w:lineRule="auto"/>
        <w:jc w:val="both"/>
      </w:pPr>
    </w:p>
    <w:p w14:paraId="23B3A074" w14:textId="033E56D4" w:rsidR="00674D61" w:rsidRDefault="00CF26D8" w:rsidP="00085CA3">
      <w:pPr>
        <w:spacing w:after="0" w:line="240" w:lineRule="auto"/>
        <w:jc w:val="both"/>
      </w:pPr>
      <w:r>
        <w:t xml:space="preserve">The Admissions </w:t>
      </w:r>
      <w:r w:rsidR="00B96740">
        <w:t>P</w:t>
      </w:r>
      <w:r>
        <w:t xml:space="preserve">anel will </w:t>
      </w:r>
      <w:r w:rsidR="00CF0D71">
        <w:t>consider</w:t>
      </w:r>
      <w:r w:rsidR="00674D61">
        <w:t>:</w:t>
      </w:r>
    </w:p>
    <w:p w14:paraId="0576F56C" w14:textId="77E715C6" w:rsidR="00C35581" w:rsidRDefault="00C35581" w:rsidP="00085CA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the individual’s present situation </w:t>
      </w:r>
      <w:r w:rsidR="00D011EA">
        <w:t xml:space="preserve">including school record of attendance, </w:t>
      </w:r>
      <w:r w:rsidR="00AC314A">
        <w:t xml:space="preserve">sustainable </w:t>
      </w:r>
      <w:r w:rsidR="00560A97">
        <w:t>ability to</w:t>
      </w:r>
      <w:r w:rsidR="00CB49EB">
        <w:t xml:space="preserve"> </w:t>
      </w:r>
      <w:r w:rsidR="00675FD3">
        <w:t xml:space="preserve">manage </w:t>
      </w:r>
      <w:r w:rsidR="002B440E">
        <w:t>classroom demands and college life</w:t>
      </w:r>
      <w:r w:rsidR="00995252">
        <w:t>.</w:t>
      </w:r>
    </w:p>
    <w:p w14:paraId="2745E64C" w14:textId="0995B11A" w:rsidR="66A6D5DC" w:rsidRDefault="00AE7794" w:rsidP="00085CA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l</w:t>
      </w:r>
      <w:r w:rsidR="66A6D5DC">
        <w:t xml:space="preserve">ikelihood to manage </w:t>
      </w:r>
      <w:r w:rsidR="2DEDD78C">
        <w:t xml:space="preserve">their </w:t>
      </w:r>
      <w:r w:rsidR="66A6D5DC">
        <w:t>study programme</w:t>
      </w:r>
      <w:r w:rsidR="7B70439B">
        <w:t xml:space="preserve"> with minimum of 95% attendance</w:t>
      </w:r>
    </w:p>
    <w:p w14:paraId="00B7B861" w14:textId="0294F610" w:rsidR="00674D61" w:rsidRDefault="00302102" w:rsidP="00085CA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the college’s ability to </w:t>
      </w:r>
      <w:r w:rsidR="002260EB">
        <w:t xml:space="preserve">meet the needs of the applicant, </w:t>
      </w:r>
      <w:r w:rsidR="009D7336">
        <w:t>with reasonable adjustments</w:t>
      </w:r>
      <w:r w:rsidR="002260EB">
        <w:t xml:space="preserve"> </w:t>
      </w:r>
    </w:p>
    <w:p w14:paraId="3BA766CE" w14:textId="77777777" w:rsidR="003A5030" w:rsidRDefault="003A5030" w:rsidP="00085CA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the college’s ability to put in place appropriate support, subject to relevant funding</w:t>
      </w:r>
    </w:p>
    <w:p w14:paraId="3C25CCEC" w14:textId="77777777" w:rsidR="00E02EFE" w:rsidRDefault="00E02EFE" w:rsidP="00085CA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likelihood of the applicant succeeding based on qualifications on entry and national data</w:t>
      </w:r>
      <w:r w:rsidRPr="00CF0D71">
        <w:t xml:space="preserve"> </w:t>
      </w:r>
      <w:r>
        <w:t>versus any mitigating circumstances</w:t>
      </w:r>
    </w:p>
    <w:p w14:paraId="711A8635" w14:textId="2EC2CAF6" w:rsidR="00CF26D8" w:rsidRDefault="00302102" w:rsidP="00085CA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the college’s ability</w:t>
      </w:r>
      <w:r w:rsidR="00674D61">
        <w:t xml:space="preserve"> to </w:t>
      </w:r>
      <w:r w:rsidR="002260EB">
        <w:t>keep the</w:t>
      </w:r>
      <w:r>
        <w:t xml:space="preserve"> applicant </w:t>
      </w:r>
      <w:r w:rsidR="002260EB">
        <w:t>safe</w:t>
      </w:r>
      <w:r w:rsidR="00C35581" w:rsidRPr="00C35581">
        <w:t xml:space="preserve"> </w:t>
      </w:r>
      <w:r w:rsidR="00C35581">
        <w:t>on site</w:t>
      </w:r>
    </w:p>
    <w:p w14:paraId="569F8E02" w14:textId="35E0B017" w:rsidR="00DC0A83" w:rsidRDefault="000C43A2" w:rsidP="00085CA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the risks to</w:t>
      </w:r>
      <w:r w:rsidR="00DC0A83">
        <w:t xml:space="preserve"> </w:t>
      </w:r>
      <w:r>
        <w:t xml:space="preserve">the </w:t>
      </w:r>
      <w:r w:rsidR="00013E5D">
        <w:t xml:space="preserve">mental and physical </w:t>
      </w:r>
      <w:r>
        <w:t xml:space="preserve">safety of </w:t>
      </w:r>
      <w:r w:rsidR="00DC0A83">
        <w:t xml:space="preserve">other students and staff </w:t>
      </w:r>
    </w:p>
    <w:p w14:paraId="05259A9F" w14:textId="77777777" w:rsidR="00894C4E" w:rsidRPr="00894C4E" w:rsidRDefault="00894C4E" w:rsidP="00085CA3">
      <w:pPr>
        <w:spacing w:after="0" w:line="240" w:lineRule="auto"/>
        <w:jc w:val="both"/>
      </w:pPr>
    </w:p>
    <w:p w14:paraId="597B464C" w14:textId="50199693" w:rsidR="003D3728" w:rsidRDefault="00894C4E" w:rsidP="00085CA3">
      <w:pPr>
        <w:spacing w:after="0" w:line="240" w:lineRule="auto"/>
        <w:jc w:val="both"/>
      </w:pPr>
      <w:r w:rsidRPr="00894C4E">
        <w:rPr>
          <w:b/>
          <w:bCs/>
        </w:rPr>
        <w:t>Confidentiality</w:t>
      </w:r>
      <w:r w:rsidRPr="00894C4E">
        <w:t xml:space="preserve"> </w:t>
      </w:r>
    </w:p>
    <w:p w14:paraId="72D1FB61" w14:textId="64E3C56E" w:rsidR="00894C4E" w:rsidRDefault="00384C05" w:rsidP="00085CA3">
      <w:pPr>
        <w:spacing w:after="0" w:line="240" w:lineRule="auto"/>
        <w:jc w:val="both"/>
      </w:pPr>
      <w:r>
        <w:t>A</w:t>
      </w:r>
      <w:r w:rsidR="00894C4E" w:rsidRPr="00894C4E">
        <w:t xml:space="preserve">ny information shared during the assessment process </w:t>
      </w:r>
      <w:r>
        <w:t>will</w:t>
      </w:r>
      <w:r w:rsidR="00894C4E" w:rsidRPr="00894C4E">
        <w:t xml:space="preserve"> </w:t>
      </w:r>
      <w:r w:rsidR="0065683A" w:rsidRPr="00894C4E">
        <w:t>be kept</w:t>
      </w:r>
      <w:r w:rsidR="00894C4E" w:rsidRPr="00894C4E">
        <w:t xml:space="preserve"> confidential, adhering to privacy regulations.</w:t>
      </w:r>
      <w:r>
        <w:t xml:space="preserve"> Documents will be securely file streamed and attached to the relevant application and summary notes may be made in the safeguarding log</w:t>
      </w:r>
      <w:r w:rsidR="00D96233">
        <w:t>.</w:t>
      </w:r>
    </w:p>
    <w:p w14:paraId="6D221566" w14:textId="77777777" w:rsidR="00D96233" w:rsidRPr="00894C4E" w:rsidRDefault="00D96233" w:rsidP="00085CA3">
      <w:pPr>
        <w:spacing w:after="0" w:line="240" w:lineRule="auto"/>
        <w:jc w:val="both"/>
      </w:pPr>
    </w:p>
    <w:p w14:paraId="18CA972A" w14:textId="1EDE4569" w:rsidR="00312C4B" w:rsidRDefault="00894C4E" w:rsidP="00085CA3">
      <w:pPr>
        <w:spacing w:after="0" w:line="240" w:lineRule="auto"/>
        <w:jc w:val="both"/>
      </w:pPr>
      <w:r w:rsidRPr="00894C4E">
        <w:rPr>
          <w:b/>
          <w:bCs/>
        </w:rPr>
        <w:t>Interventions</w:t>
      </w:r>
      <w:r w:rsidRPr="00894C4E">
        <w:t xml:space="preserve"> </w:t>
      </w:r>
    </w:p>
    <w:p w14:paraId="7CA59BE4" w14:textId="4D648993" w:rsidR="00894C4E" w:rsidRDefault="00312C4B" w:rsidP="00085CA3">
      <w:pPr>
        <w:spacing w:after="0" w:line="240" w:lineRule="auto"/>
        <w:jc w:val="both"/>
      </w:pPr>
      <w:r>
        <w:t>Where</w:t>
      </w:r>
      <w:r w:rsidR="002F08CF">
        <w:t xml:space="preserve"> a</w:t>
      </w:r>
      <w:r w:rsidR="00080F1E">
        <w:t xml:space="preserve">n </w:t>
      </w:r>
      <w:r w:rsidR="00215F8F">
        <w:t xml:space="preserve">enrolled </w:t>
      </w:r>
      <w:r w:rsidR="00080F1E">
        <w:t>student sustains a period of absence due to ill health</w:t>
      </w:r>
      <w:r w:rsidR="00683AB6">
        <w:t xml:space="preserve">, </w:t>
      </w:r>
      <w:r w:rsidR="00215F8F">
        <w:t xml:space="preserve">the college will assess </w:t>
      </w:r>
      <w:r w:rsidR="00894C4E" w:rsidRPr="00894C4E">
        <w:t>potential interventions or adjustments that can be made to support a student’s return to full study, such as modified course loads</w:t>
      </w:r>
      <w:r w:rsidR="002808CF">
        <w:t>, timetabled catch-up support</w:t>
      </w:r>
      <w:r w:rsidR="00894C4E" w:rsidRPr="00894C4E">
        <w:t xml:space="preserve"> or additional </w:t>
      </w:r>
      <w:r w:rsidR="0054749F">
        <w:t>academic support</w:t>
      </w:r>
      <w:r w:rsidR="00894C4E" w:rsidRPr="00894C4E">
        <w:t>.</w:t>
      </w:r>
    </w:p>
    <w:p w14:paraId="2B840374" w14:textId="77777777" w:rsidR="0065683A" w:rsidRPr="00894C4E" w:rsidRDefault="0065683A" w:rsidP="00085CA3">
      <w:pPr>
        <w:spacing w:after="0" w:line="240" w:lineRule="auto"/>
        <w:jc w:val="both"/>
      </w:pPr>
    </w:p>
    <w:p w14:paraId="1DA48BF4" w14:textId="3695760B" w:rsidR="00BF60EE" w:rsidRPr="00476825" w:rsidRDefault="00894C4E" w:rsidP="00085CA3">
      <w:pPr>
        <w:spacing w:after="0" w:line="240" w:lineRule="auto"/>
        <w:jc w:val="both"/>
      </w:pPr>
      <w:r w:rsidRPr="00894C4E">
        <w:rPr>
          <w:b/>
          <w:bCs/>
        </w:rPr>
        <w:t>Appeals Process</w:t>
      </w:r>
      <w:r w:rsidRPr="00894C4E">
        <w:t xml:space="preserve"> </w:t>
      </w:r>
    </w:p>
    <w:p w14:paraId="60D7DC6D" w14:textId="77777777" w:rsidR="00D14C99" w:rsidRPr="00476825" w:rsidRDefault="00D14C99" w:rsidP="00085CA3">
      <w:pPr>
        <w:spacing w:after="160" w:line="278" w:lineRule="auto"/>
        <w:jc w:val="both"/>
        <w:rPr>
          <w:rFonts w:cstheme="minorHAnsi"/>
        </w:rPr>
      </w:pPr>
      <w:r w:rsidRPr="00476825">
        <w:rPr>
          <w:rFonts w:cstheme="minorHAnsi"/>
        </w:rPr>
        <w:t>Applicants who have not been offered a place are entitled to appeal against that decision to the Admissions Appeals Panel. </w:t>
      </w:r>
    </w:p>
    <w:p w14:paraId="54302F24" w14:textId="52DF396A" w:rsidR="00D14C99" w:rsidRPr="00476825" w:rsidRDefault="00D14C99" w:rsidP="00085CA3">
      <w:pPr>
        <w:spacing w:after="160" w:line="278" w:lineRule="auto"/>
        <w:jc w:val="both"/>
        <w:rPr>
          <w:rFonts w:cstheme="minorHAnsi"/>
        </w:rPr>
      </w:pPr>
      <w:r w:rsidRPr="00476825">
        <w:rPr>
          <w:rFonts w:cstheme="minorHAnsi"/>
        </w:rPr>
        <w:lastRenderedPageBreak/>
        <w:t xml:space="preserve">Applicants wishing to lodge an appeal should email </w:t>
      </w:r>
      <w:hyperlink r:id="rId11" w:history="1">
        <w:r w:rsidRPr="00476825">
          <w:rPr>
            <w:rStyle w:val="Hyperlink"/>
            <w:rFonts w:cstheme="minorHAnsi"/>
          </w:rPr>
          <w:t>admissions@cirencester.ac.uk</w:t>
        </w:r>
      </w:hyperlink>
      <w:r w:rsidRPr="00476825">
        <w:rPr>
          <w:rFonts w:cstheme="minorHAnsi"/>
        </w:rPr>
        <w:t xml:space="preserve"> </w:t>
      </w:r>
      <w:r w:rsidR="007906A2" w:rsidRPr="00476825">
        <w:rPr>
          <w:rFonts w:cstheme="minorHAnsi"/>
        </w:rPr>
        <w:t>providing new mitigating</w:t>
      </w:r>
      <w:r w:rsidR="00F5566E" w:rsidRPr="00476825">
        <w:rPr>
          <w:rFonts w:cstheme="minorHAnsi"/>
        </w:rPr>
        <w:t xml:space="preserve"> evidence </w:t>
      </w:r>
      <w:r w:rsidRPr="00476825">
        <w:rPr>
          <w:rFonts w:cstheme="minorHAnsi"/>
        </w:rPr>
        <w:t>explaining the circumstances around their situation and why they feel they should be granted a place (max 500 words).</w:t>
      </w:r>
    </w:p>
    <w:p w14:paraId="785EE5EF" w14:textId="77777777" w:rsidR="00085CA3" w:rsidRDefault="00D14C99" w:rsidP="00085CA3">
      <w:pPr>
        <w:spacing w:after="160" w:line="278" w:lineRule="auto"/>
        <w:jc w:val="both"/>
        <w:rPr>
          <w:rFonts w:cstheme="minorHAnsi"/>
        </w:rPr>
      </w:pPr>
      <w:r w:rsidRPr="00476825">
        <w:rPr>
          <w:rFonts w:cstheme="minorHAnsi"/>
        </w:rPr>
        <w:t>Appeals Panels will be arranged as and when necessary.</w:t>
      </w:r>
    </w:p>
    <w:p w14:paraId="578D6758" w14:textId="26826261" w:rsidR="00D14C99" w:rsidRPr="00476825" w:rsidRDefault="00D14C99" w:rsidP="00085CA3">
      <w:pPr>
        <w:spacing w:after="160" w:line="278" w:lineRule="auto"/>
        <w:jc w:val="both"/>
        <w:rPr>
          <w:rStyle w:val="eudoraheader"/>
          <w:rFonts w:cstheme="minorHAnsi"/>
        </w:rPr>
      </w:pPr>
      <w:r w:rsidRPr="00476825">
        <w:rPr>
          <w:rFonts w:cstheme="minorHAnsi"/>
        </w:rPr>
        <w:t>Application appeals will be processed within 10 term-time working days of the appeal. Enrolment appeals will be heard within 21 days of publication of GCSE results. The decision made by the Appeals Panel is final.</w:t>
      </w:r>
    </w:p>
    <w:p w14:paraId="6BC8D53E" w14:textId="1FBD2732" w:rsidR="00C91F54" w:rsidRDefault="00894C4E" w:rsidP="00085CA3">
      <w:pPr>
        <w:spacing w:after="0" w:line="240" w:lineRule="auto"/>
        <w:jc w:val="both"/>
      </w:pPr>
      <w:r w:rsidRPr="00894C4E">
        <w:rPr>
          <w:b/>
          <w:bCs/>
        </w:rPr>
        <w:t>Responsibilities</w:t>
      </w:r>
      <w:r w:rsidRPr="00894C4E">
        <w:t xml:space="preserve"> </w:t>
      </w:r>
    </w:p>
    <w:p w14:paraId="42BCF88F" w14:textId="7D9C7555" w:rsidR="003119D5" w:rsidRDefault="00C91F54" w:rsidP="00085CA3">
      <w:pPr>
        <w:spacing w:after="0" w:line="240" w:lineRule="auto"/>
        <w:jc w:val="both"/>
      </w:pPr>
      <w:r>
        <w:t>Where an applicant</w:t>
      </w:r>
      <w:r w:rsidR="006B4F53">
        <w:t xml:space="preserve"> is offered a place</w:t>
      </w:r>
      <w:r>
        <w:t xml:space="preserve"> or </w:t>
      </w:r>
      <w:r w:rsidR="006B4F53">
        <w:t>a student</w:t>
      </w:r>
      <w:r>
        <w:t xml:space="preserve"> is </w:t>
      </w:r>
      <w:r w:rsidR="000118D1">
        <w:t>being supported to return to study, the college is responsible for putting the agreed support in place</w:t>
      </w:r>
      <w:r w:rsidR="00231A3F">
        <w:t xml:space="preserve">, the student is responsible for </w:t>
      </w:r>
      <w:r w:rsidR="00EF0AEE">
        <w:t>their attendance</w:t>
      </w:r>
      <w:r w:rsidR="0096216D">
        <w:t xml:space="preserve"> (expectations are between 95</w:t>
      </w:r>
      <w:r w:rsidR="000C3A62">
        <w:t>% and 100% attendance)</w:t>
      </w:r>
      <w:r w:rsidR="00EF0AEE">
        <w:t xml:space="preserve">, completing work in a timely way and </w:t>
      </w:r>
      <w:r w:rsidR="00204F8D">
        <w:t>maintaining their fitness to study</w:t>
      </w:r>
      <w:r w:rsidR="003119D5">
        <w:t>.</w:t>
      </w:r>
    </w:p>
    <w:p w14:paraId="2CF8F7E4" w14:textId="0BF2BCB6" w:rsidR="00894C4E" w:rsidRDefault="00304C75" w:rsidP="00085CA3">
      <w:pPr>
        <w:spacing w:after="0" w:line="240" w:lineRule="auto"/>
        <w:jc w:val="both"/>
      </w:pPr>
      <w:r>
        <w:t xml:space="preserve">The College will </w:t>
      </w:r>
      <w:r w:rsidR="11041ED9">
        <w:t xml:space="preserve">monitor and </w:t>
      </w:r>
      <w:r>
        <w:t xml:space="preserve">regularly review each student who joins the college following a fitness to study </w:t>
      </w:r>
      <w:r w:rsidR="00685944">
        <w:t xml:space="preserve">assessment and </w:t>
      </w:r>
      <w:r w:rsidR="0DED363A">
        <w:t xml:space="preserve">intervene </w:t>
      </w:r>
      <w:r w:rsidR="00685944">
        <w:t>as necessary.</w:t>
      </w:r>
    </w:p>
    <w:p w14:paraId="44652533" w14:textId="77777777" w:rsidR="00894C4E" w:rsidRDefault="00894C4E" w:rsidP="00085CA3">
      <w:pPr>
        <w:spacing w:after="0" w:line="240" w:lineRule="auto"/>
        <w:jc w:val="both"/>
      </w:pPr>
    </w:p>
    <w:p w14:paraId="26263342" w14:textId="77777777" w:rsidR="00971906" w:rsidRDefault="00971906" w:rsidP="00085CA3">
      <w:pPr>
        <w:spacing w:after="0" w:line="240" w:lineRule="auto"/>
        <w:jc w:val="both"/>
      </w:pPr>
    </w:p>
    <w:sectPr w:rsidR="00971906" w:rsidSect="000C36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8C62" w14:textId="77777777" w:rsidR="00800312" w:rsidRDefault="00800312" w:rsidP="00886168">
      <w:pPr>
        <w:spacing w:after="0" w:line="240" w:lineRule="auto"/>
      </w:pPr>
      <w:r>
        <w:separator/>
      </w:r>
    </w:p>
  </w:endnote>
  <w:endnote w:type="continuationSeparator" w:id="0">
    <w:p w14:paraId="3082B3FF" w14:textId="77777777" w:rsidR="00800312" w:rsidRDefault="00800312" w:rsidP="0088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4C004" w14:textId="77777777" w:rsidR="00D75FF1" w:rsidRDefault="00D75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6832" w14:textId="4EB7DAC2" w:rsidR="00886168" w:rsidRDefault="0053683F">
    <w:pPr>
      <w:pStyle w:val="Footer"/>
    </w:pPr>
    <w:r>
      <w:t>Policy</w:t>
    </w:r>
    <w:r w:rsidR="00F43A11">
      <w:t>/</w:t>
    </w:r>
    <w:r w:rsidR="00886168">
      <w:t>KZF</w:t>
    </w:r>
    <w:r>
      <w:t>-</w:t>
    </w:r>
    <w:r w:rsidR="00F43A11">
      <w:t>SPP</w:t>
    </w:r>
    <w:r>
      <w:t>-</w:t>
    </w:r>
    <w:r w:rsidR="00F43A11">
      <w:t>MRC</w:t>
    </w:r>
    <w:r>
      <w:t>-</w:t>
    </w:r>
    <w:r w:rsidR="00F43A11">
      <w:t>KYB</w:t>
    </w:r>
    <w:r>
      <w:t>/</w:t>
    </w:r>
    <w:r w:rsidR="007B4CBC">
      <w:t xml:space="preserve">updated </w:t>
    </w:r>
    <w:r w:rsidR="00D75FF1">
      <w:t>Sept 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7648" w14:textId="77777777" w:rsidR="00D75FF1" w:rsidRDefault="00D75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BA38" w14:textId="77777777" w:rsidR="00800312" w:rsidRDefault="00800312" w:rsidP="00886168">
      <w:pPr>
        <w:spacing w:after="0" w:line="240" w:lineRule="auto"/>
      </w:pPr>
      <w:r>
        <w:separator/>
      </w:r>
    </w:p>
  </w:footnote>
  <w:footnote w:type="continuationSeparator" w:id="0">
    <w:p w14:paraId="6BA2D3A3" w14:textId="77777777" w:rsidR="00800312" w:rsidRDefault="00800312" w:rsidP="0088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A570" w14:textId="77777777" w:rsidR="00D75FF1" w:rsidRDefault="00D75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E8AF" w14:textId="77777777" w:rsidR="00D75FF1" w:rsidRDefault="00D75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D752" w14:textId="77777777" w:rsidR="00D75FF1" w:rsidRDefault="00D75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66"/>
    <w:multiLevelType w:val="hybridMultilevel"/>
    <w:tmpl w:val="18CA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5F5D"/>
    <w:multiLevelType w:val="hybridMultilevel"/>
    <w:tmpl w:val="D946D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4326"/>
    <w:multiLevelType w:val="hybridMultilevel"/>
    <w:tmpl w:val="A4AA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261B"/>
    <w:multiLevelType w:val="hybridMultilevel"/>
    <w:tmpl w:val="00C84A62"/>
    <w:lvl w:ilvl="0" w:tplc="04CE9C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1370"/>
    <w:multiLevelType w:val="hybridMultilevel"/>
    <w:tmpl w:val="AD7C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03B6"/>
    <w:multiLevelType w:val="multilevel"/>
    <w:tmpl w:val="1452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11732"/>
    <w:multiLevelType w:val="hybridMultilevel"/>
    <w:tmpl w:val="267A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85911"/>
    <w:multiLevelType w:val="hybridMultilevel"/>
    <w:tmpl w:val="851CFF64"/>
    <w:lvl w:ilvl="0" w:tplc="0C4C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47BBA"/>
    <w:multiLevelType w:val="hybridMultilevel"/>
    <w:tmpl w:val="E5B886D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6B6C74"/>
    <w:multiLevelType w:val="hybridMultilevel"/>
    <w:tmpl w:val="F65A70F0"/>
    <w:lvl w:ilvl="0" w:tplc="0C4C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9276">
    <w:abstractNumId w:val="1"/>
  </w:num>
  <w:num w:numId="2" w16cid:durableId="1452286442">
    <w:abstractNumId w:val="9"/>
  </w:num>
  <w:num w:numId="3" w16cid:durableId="1553497588">
    <w:abstractNumId w:val="6"/>
  </w:num>
  <w:num w:numId="4" w16cid:durableId="1222790044">
    <w:abstractNumId w:val="7"/>
  </w:num>
  <w:num w:numId="5" w16cid:durableId="1913618410">
    <w:abstractNumId w:val="0"/>
  </w:num>
  <w:num w:numId="6" w16cid:durableId="191117911">
    <w:abstractNumId w:val="8"/>
  </w:num>
  <w:num w:numId="7" w16cid:durableId="368259400">
    <w:abstractNumId w:val="3"/>
  </w:num>
  <w:num w:numId="8" w16cid:durableId="1408261210">
    <w:abstractNumId w:val="2"/>
  </w:num>
  <w:num w:numId="9" w16cid:durableId="1865244340">
    <w:abstractNumId w:val="5"/>
  </w:num>
  <w:num w:numId="10" w16cid:durableId="178075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7F"/>
    <w:rsid w:val="000118D1"/>
    <w:rsid w:val="00013E5D"/>
    <w:rsid w:val="000575A0"/>
    <w:rsid w:val="00080F1E"/>
    <w:rsid w:val="00085885"/>
    <w:rsid w:val="00085CA3"/>
    <w:rsid w:val="000C20C7"/>
    <w:rsid w:val="000C32F2"/>
    <w:rsid w:val="000C367F"/>
    <w:rsid w:val="000C3A62"/>
    <w:rsid w:val="000C43A2"/>
    <w:rsid w:val="000D12F7"/>
    <w:rsid w:val="00176E6E"/>
    <w:rsid w:val="00187D22"/>
    <w:rsid w:val="00204F8D"/>
    <w:rsid w:val="00215F8F"/>
    <w:rsid w:val="002260EB"/>
    <w:rsid w:val="00231A3F"/>
    <w:rsid w:val="002652C7"/>
    <w:rsid w:val="002808CF"/>
    <w:rsid w:val="002927A2"/>
    <w:rsid w:val="002A010B"/>
    <w:rsid w:val="002B440E"/>
    <w:rsid w:val="002F08CF"/>
    <w:rsid w:val="00302102"/>
    <w:rsid w:val="00304C75"/>
    <w:rsid w:val="003119D5"/>
    <w:rsid w:val="00312C4B"/>
    <w:rsid w:val="003762F3"/>
    <w:rsid w:val="00381A77"/>
    <w:rsid w:val="00384C05"/>
    <w:rsid w:val="003955C7"/>
    <w:rsid w:val="003A2B2A"/>
    <w:rsid w:val="003A5030"/>
    <w:rsid w:val="003B16A3"/>
    <w:rsid w:val="003C45B4"/>
    <w:rsid w:val="003D3728"/>
    <w:rsid w:val="003E41D2"/>
    <w:rsid w:val="00476825"/>
    <w:rsid w:val="00483EAD"/>
    <w:rsid w:val="004A26B8"/>
    <w:rsid w:val="005058FD"/>
    <w:rsid w:val="0053683F"/>
    <w:rsid w:val="00537DA9"/>
    <w:rsid w:val="0054749F"/>
    <w:rsid w:val="005529CC"/>
    <w:rsid w:val="00560A97"/>
    <w:rsid w:val="00572EFE"/>
    <w:rsid w:val="00575817"/>
    <w:rsid w:val="005D66E4"/>
    <w:rsid w:val="00631F52"/>
    <w:rsid w:val="00654E29"/>
    <w:rsid w:val="0065683A"/>
    <w:rsid w:val="00674D61"/>
    <w:rsid w:val="00675FD3"/>
    <w:rsid w:val="00683AB6"/>
    <w:rsid w:val="00685944"/>
    <w:rsid w:val="006B2A1E"/>
    <w:rsid w:val="006B4F53"/>
    <w:rsid w:val="006C1A31"/>
    <w:rsid w:val="0074498F"/>
    <w:rsid w:val="007906A2"/>
    <w:rsid w:val="007B4CBC"/>
    <w:rsid w:val="007D27E9"/>
    <w:rsid w:val="007D37A0"/>
    <w:rsid w:val="00800312"/>
    <w:rsid w:val="00826FC0"/>
    <w:rsid w:val="00886168"/>
    <w:rsid w:val="00894C4E"/>
    <w:rsid w:val="008A3E67"/>
    <w:rsid w:val="008C03FE"/>
    <w:rsid w:val="008F4B74"/>
    <w:rsid w:val="008F6B0F"/>
    <w:rsid w:val="0096216D"/>
    <w:rsid w:val="00971906"/>
    <w:rsid w:val="0097542A"/>
    <w:rsid w:val="00986662"/>
    <w:rsid w:val="00995252"/>
    <w:rsid w:val="009D7336"/>
    <w:rsid w:val="00A7725A"/>
    <w:rsid w:val="00AB776B"/>
    <w:rsid w:val="00AC314A"/>
    <w:rsid w:val="00AE7794"/>
    <w:rsid w:val="00AF035C"/>
    <w:rsid w:val="00AF794F"/>
    <w:rsid w:val="00B025C5"/>
    <w:rsid w:val="00B33542"/>
    <w:rsid w:val="00B55CE5"/>
    <w:rsid w:val="00B96740"/>
    <w:rsid w:val="00BA452C"/>
    <w:rsid w:val="00BC5CCF"/>
    <w:rsid w:val="00BF60EE"/>
    <w:rsid w:val="00C3294C"/>
    <w:rsid w:val="00C35581"/>
    <w:rsid w:val="00C44C35"/>
    <w:rsid w:val="00C6690A"/>
    <w:rsid w:val="00C91F54"/>
    <w:rsid w:val="00CA609E"/>
    <w:rsid w:val="00CB49EB"/>
    <w:rsid w:val="00CC4046"/>
    <w:rsid w:val="00CF0D71"/>
    <w:rsid w:val="00CF26D8"/>
    <w:rsid w:val="00D011EA"/>
    <w:rsid w:val="00D14C99"/>
    <w:rsid w:val="00D45577"/>
    <w:rsid w:val="00D75FF1"/>
    <w:rsid w:val="00D96233"/>
    <w:rsid w:val="00DC0A83"/>
    <w:rsid w:val="00E02EFE"/>
    <w:rsid w:val="00E52619"/>
    <w:rsid w:val="00E5782D"/>
    <w:rsid w:val="00E6483A"/>
    <w:rsid w:val="00E72C5C"/>
    <w:rsid w:val="00E97E88"/>
    <w:rsid w:val="00EF0AEE"/>
    <w:rsid w:val="00F43A11"/>
    <w:rsid w:val="00F5566E"/>
    <w:rsid w:val="00F75531"/>
    <w:rsid w:val="00FD15F7"/>
    <w:rsid w:val="00FD5511"/>
    <w:rsid w:val="0DED363A"/>
    <w:rsid w:val="0F613283"/>
    <w:rsid w:val="11041ED9"/>
    <w:rsid w:val="121AB5AC"/>
    <w:rsid w:val="2DEDD78C"/>
    <w:rsid w:val="4C250A6A"/>
    <w:rsid w:val="4E2E5A87"/>
    <w:rsid w:val="5EEF20C6"/>
    <w:rsid w:val="66A6D5DC"/>
    <w:rsid w:val="7B7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0F70"/>
  <w15:docId w15:val="{0F547608-FAE8-47AF-AEA1-2DA61B0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4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C4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4C4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C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eudoraheader">
    <w:name w:val="eudoraheader"/>
    <w:basedOn w:val="DefaultParagraphFont"/>
    <w:rsid w:val="00D14C99"/>
  </w:style>
  <w:style w:type="character" w:styleId="Hyperlink">
    <w:name w:val="Hyperlink"/>
    <w:basedOn w:val="DefaultParagraphFont"/>
    <w:uiPriority w:val="99"/>
    <w:unhideWhenUsed/>
    <w:rsid w:val="00D14C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168"/>
  </w:style>
  <w:style w:type="paragraph" w:styleId="Footer">
    <w:name w:val="footer"/>
    <w:basedOn w:val="Normal"/>
    <w:link w:val="FooterChar"/>
    <w:uiPriority w:val="99"/>
    <w:unhideWhenUsed/>
    <w:rsid w:val="00886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168"/>
  </w:style>
  <w:style w:type="paragraph" w:styleId="Revision">
    <w:name w:val="Revision"/>
    <w:hidden/>
    <w:uiPriority w:val="99"/>
    <w:semiHidden/>
    <w:rsid w:val="00962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4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cirenceste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a0721-ab3f-403c-909c-9bf8b9074e0f" xsi:nil="true"/>
    <lcf76f155ced4ddcb4097134ff3c332f xmlns="2fa026ea-2a43-48d2-a024-7fd4bcbed3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D8CF32FD4104CA705930D9ECD0404" ma:contentTypeVersion="11" ma:contentTypeDescription="Create a new document." ma:contentTypeScope="" ma:versionID="c43ae9abfb2cffe11f6ccbde8445c0be">
  <xsd:schema xmlns:xsd="http://www.w3.org/2001/XMLSchema" xmlns:xs="http://www.w3.org/2001/XMLSchema" xmlns:p="http://schemas.microsoft.com/office/2006/metadata/properties" xmlns:ns2="2fa026ea-2a43-48d2-a024-7fd4bcbed3b8" xmlns:ns3="b28a0721-ab3f-403c-909c-9bf8b9074e0f" targetNamespace="http://schemas.microsoft.com/office/2006/metadata/properties" ma:root="true" ma:fieldsID="1117195fbc475c9bba7ae37736493c08" ns2:_="" ns3:_="">
    <xsd:import namespace="2fa026ea-2a43-48d2-a024-7fd4bcbed3b8"/>
    <xsd:import namespace="b28a0721-ab3f-403c-909c-9bf8b907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26ea-2a43-48d2-a024-7fd4bcbed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0f9e56-177e-460b-872b-a9a7127bc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0721-ab3f-403c-909c-9bf8b9074e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84a653-6727-47b9-906b-0c76ff03a574}" ma:internalName="TaxCatchAll" ma:showField="CatchAllData" ma:web="b28a0721-ab3f-403c-909c-9bf8b907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C5B6B-4873-40C7-9563-0EE142E52C5A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b67f34be-efb4-4a22-8d88-5bf788f30f11"/>
    <ds:schemaRef ds:uri="http://purl.org/dc/elements/1.1/"/>
    <ds:schemaRef ds:uri="http://www.w3.org/XML/1998/namespace"/>
    <ds:schemaRef ds:uri="http://schemas.openxmlformats.org/package/2006/metadata/core-properties"/>
    <ds:schemaRef ds:uri="077a59ef-d43e-4ace-aae7-9ae989be0e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D24FA0-7916-4DD6-A890-24D9371DEA7A}"/>
</file>

<file path=customXml/itemProps3.xml><?xml version="1.0" encoding="utf-8"?>
<ds:datastoreItem xmlns:ds="http://schemas.openxmlformats.org/officeDocument/2006/customXml" ds:itemID="{4965D4AC-BDA0-47A0-951B-10582ECAB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Karen.Fraser@cirencester.ac.uk</dc:creator>
  <cp:lastModifiedBy>Helen Finan</cp:lastModifiedBy>
  <cp:revision>13</cp:revision>
  <dcterms:created xsi:type="dcterms:W3CDTF">2025-02-28T16:05:00Z</dcterms:created>
  <dcterms:modified xsi:type="dcterms:W3CDTF">2025-09-19T10:50:00Z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0x010100318D8CF32FD4104CA705930D9ECD0404</vt:lpwstr>
  </property>
  <property fmtid="{D5CDD505-2E9C-101B-9397-08002B2CF9AE}" pid="3" name="Order">
    <vt:r8>122300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